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35E4C">
      <w:pPr>
        <w:pStyle w:val="a3"/>
        <w:jc w:val="center"/>
      </w:pPr>
      <w:bookmarkStart w:id="0" w:name="_GoBack"/>
      <w:bookmarkEnd w:id="0"/>
      <w:r>
        <w:rPr>
          <w:rStyle w:val="a6"/>
          <w:rFonts w:ascii="Arial" w:hAnsi="Arial" w:cs="Arial"/>
          <w:color w:val="000000"/>
          <w:sz w:val="36"/>
          <w:szCs w:val="36"/>
        </w:rPr>
        <w:t>ОПРЕДЕЛЕНИЕ</w:t>
      </w:r>
    </w:p>
    <w:p w:rsidR="00000000" w:rsidRDefault="00A35E4C">
      <w:pPr>
        <w:pStyle w:val="a3"/>
        <w:jc w:val="center"/>
      </w:pPr>
      <w:r>
        <w:rPr>
          <w:rStyle w:val="a6"/>
          <w:rFonts w:ascii="Arial" w:hAnsi="Arial" w:cs="Arial"/>
          <w:color w:val="000000"/>
          <w:sz w:val="28"/>
          <w:szCs w:val="28"/>
        </w:rPr>
        <w:t>№</w:t>
      </w:r>
      <w:r>
        <w:rPr>
          <w:rStyle w:val="a6"/>
          <w:rFonts w:ascii="Arial" w:hAnsi="Arial" w:cs="Arial"/>
          <w:color w:val="000000"/>
          <w:sz w:val="28"/>
          <w:szCs w:val="28"/>
        </w:rPr>
        <w:t xml:space="preserve"> </w:t>
      </w:r>
      <w:r>
        <w:rPr>
          <w:rStyle w:val="printdefinition"/>
          <w:rFonts w:ascii="Arial" w:hAnsi="Arial" w:cs="Arial"/>
          <w:b/>
          <w:bCs/>
          <w:color w:val="000000"/>
          <w:sz w:val="28"/>
          <w:szCs w:val="28"/>
        </w:rPr>
        <w:t>102</w:t>
      </w:r>
      <w:r>
        <w:rPr>
          <w:rStyle w:val="printdefinition"/>
          <w:rFonts w:ascii="Arial" w:hAnsi="Arial" w:cs="Arial"/>
          <w:b/>
          <w:bCs/>
          <w:color w:val="000000"/>
          <w:sz w:val="28"/>
          <w:szCs w:val="28"/>
        </w:rPr>
        <w:t>3</w:t>
      </w:r>
    </w:p>
    <w:p w:rsidR="00000000" w:rsidRDefault="00A35E4C">
      <w:pPr>
        <w:pStyle w:val="a3"/>
        <w:jc w:val="center"/>
      </w:pPr>
      <w:r>
        <w:rPr>
          <w:rStyle w:val="printdefinition"/>
          <w:rFonts w:ascii="Arial" w:hAnsi="Arial" w:cs="Arial"/>
          <w:b/>
          <w:bCs/>
          <w:color w:val="000000"/>
          <w:sz w:val="28"/>
          <w:szCs w:val="28"/>
        </w:rPr>
        <w:t>Хасков</w:t>
      </w:r>
      <w:r>
        <w:rPr>
          <w:rStyle w:val="printdefinition"/>
          <w:rFonts w:ascii="Arial" w:hAnsi="Arial" w:cs="Arial"/>
          <w:b/>
          <w:bCs/>
          <w:color w:val="000000"/>
          <w:sz w:val="28"/>
          <w:szCs w:val="28"/>
        </w:rPr>
        <w:t>о</w:t>
      </w:r>
      <w:r>
        <w:rPr>
          <w:rStyle w:val="a6"/>
          <w:rFonts w:ascii="Arial" w:hAnsi="Arial" w:cs="Arial"/>
          <w:color w:val="000000"/>
          <w:sz w:val="28"/>
          <w:szCs w:val="28"/>
        </w:rPr>
        <w:t>,</w:t>
      </w:r>
      <w:r>
        <w:rPr>
          <w:rStyle w:val="a6"/>
          <w:rFonts w:ascii="Arial" w:hAnsi="Arial" w:cs="Arial"/>
          <w:color w:val="000000"/>
          <w:sz w:val="28"/>
          <w:szCs w:val="28"/>
        </w:rPr>
        <w:t xml:space="preserve"> </w:t>
      </w:r>
      <w:r>
        <w:rPr>
          <w:rStyle w:val="printdefinition"/>
          <w:rFonts w:ascii="Arial" w:hAnsi="Arial" w:cs="Arial"/>
          <w:b/>
          <w:bCs/>
          <w:color w:val="000000"/>
          <w:sz w:val="28"/>
          <w:szCs w:val="28"/>
        </w:rPr>
        <w:t>09.11.2023 г</w:t>
      </w:r>
      <w:r>
        <w:rPr>
          <w:rStyle w:val="printdefinition"/>
          <w:rFonts w:ascii="Arial" w:hAnsi="Arial" w:cs="Arial"/>
          <w:b/>
          <w:bCs/>
          <w:color w:val="000000"/>
          <w:sz w:val="28"/>
          <w:szCs w:val="28"/>
        </w:rPr>
        <w:t>.</w:t>
      </w:r>
    </w:p>
    <w:p w:rsidR="00000000" w:rsidRDefault="00A35E4C">
      <w:pPr>
        <w:pStyle w:val="body-text"/>
      </w:pPr>
      <w:r>
        <w:rPr>
          <w:rStyle w:val="printdefinition"/>
          <w:rFonts w:ascii="Arial" w:hAnsi="Arial" w:cs="Arial"/>
          <w:b/>
          <w:bCs/>
          <w:color w:val="000000"/>
        </w:rPr>
        <w:t>Административният съд - Хасков</w:t>
      </w:r>
      <w:r>
        <w:rPr>
          <w:rStyle w:val="printdefinition"/>
          <w:rFonts w:ascii="Arial" w:hAnsi="Arial" w:cs="Arial"/>
          <w:b/>
          <w:bCs/>
          <w:color w:val="000000"/>
        </w:rPr>
        <w:t>о</w:t>
      </w:r>
      <w:r>
        <w:rPr>
          <w:rStyle w:val="a6"/>
          <w:rFonts w:ascii="Arial" w:hAnsi="Arial" w:cs="Arial"/>
          <w:color w:val="000000"/>
        </w:rPr>
        <w:t xml:space="preserve"> </w:t>
      </w:r>
      <w:r>
        <w:rPr>
          <w:rFonts w:ascii="Arial" w:hAnsi="Arial" w:cs="Arial"/>
          <w:color w:val="000000"/>
        </w:rPr>
        <w:t>в</w:t>
      </w:r>
      <w:r>
        <w:rPr>
          <w:rFonts w:ascii="Arial" w:hAnsi="Arial" w:cs="Arial"/>
          <w:color w:val="000000"/>
        </w:rPr>
        <w:t xml:space="preserve"> </w:t>
      </w:r>
      <w:r>
        <w:rPr>
          <w:rStyle w:val="printdefinition"/>
          <w:rFonts w:ascii="Arial" w:hAnsi="Arial" w:cs="Arial"/>
          <w:color w:val="000000"/>
        </w:rPr>
        <w:t>закрито заседани</w:t>
      </w:r>
      <w:r>
        <w:rPr>
          <w:rStyle w:val="printdefinition"/>
          <w:rFonts w:ascii="Arial" w:hAnsi="Arial" w:cs="Arial"/>
          <w:color w:val="000000"/>
        </w:rPr>
        <w:t>е</w:t>
      </w:r>
      <w:r>
        <w:rPr>
          <w:rFonts w:ascii="Arial" w:hAnsi="Arial" w:cs="Arial"/>
          <w:color w:val="000000"/>
        </w:rPr>
        <w:t xml:space="preserve"> </w:t>
      </w:r>
      <w:r>
        <w:rPr>
          <w:rStyle w:val="printdefinition"/>
          <w:rFonts w:ascii="Arial" w:hAnsi="Arial" w:cs="Arial"/>
          <w:color w:val="000000"/>
        </w:rPr>
        <w:t>на девети ноември две хиляди и двадесет и трета годин</w:t>
      </w:r>
      <w:r>
        <w:rPr>
          <w:rStyle w:val="printdefinition"/>
          <w:rFonts w:ascii="Arial" w:hAnsi="Arial" w:cs="Arial"/>
          <w:color w:val="000000"/>
        </w:rPr>
        <w:t>а</w:t>
      </w:r>
      <w:r>
        <w:rPr>
          <w:rFonts w:ascii="Arial" w:hAnsi="Arial" w:cs="Arial"/>
          <w:color w:val="000000"/>
        </w:rPr>
        <w:t xml:space="preserve"> в състав:</w:t>
      </w:r>
    </w:p>
    <w:tbl>
      <w:tblPr>
        <w:tblW w:w="5000" w:type="pct"/>
        <w:tblCellSpacing w:w="15" w:type="dxa"/>
        <w:tblLook w:val="04A0" w:firstRow="1" w:lastRow="0" w:firstColumn="1" w:lastColumn="0" w:noHBand="0" w:noVBand="1"/>
      </w:tblPr>
      <w:tblGrid>
        <w:gridCol w:w="6053"/>
        <w:gridCol w:w="3109"/>
      </w:tblGrid>
      <w:tr w:rsidR="00000000">
        <w:trPr>
          <w:tblCellSpacing w:w="15" w:type="dxa"/>
        </w:trPr>
        <w:tc>
          <w:tcPr>
            <w:tcW w:w="9450" w:type="dxa"/>
            <w:tcMar>
              <w:top w:w="15" w:type="dxa"/>
              <w:left w:w="15" w:type="dxa"/>
              <w:bottom w:w="15" w:type="dxa"/>
              <w:right w:w="15" w:type="dxa"/>
            </w:tcMar>
            <w:hideMark/>
          </w:tcPr>
          <w:p w:rsidR="00000000" w:rsidRDefault="00A35E4C">
            <w:pPr>
              <w:rPr>
                <w:rFonts w:eastAsia="Times New Roman"/>
                <w:sz w:val="20"/>
                <w:szCs w:val="20"/>
              </w:rPr>
            </w:pPr>
          </w:p>
        </w:tc>
        <w:tc>
          <w:tcPr>
            <w:tcW w:w="4380" w:type="dxa"/>
            <w:tcMar>
              <w:top w:w="15" w:type="dxa"/>
              <w:left w:w="15" w:type="dxa"/>
              <w:bottom w:w="15" w:type="dxa"/>
              <w:right w:w="15" w:type="dxa"/>
            </w:tcMar>
            <w:vAlign w:val="center"/>
            <w:hideMark/>
          </w:tcPr>
          <w:p w:rsidR="00000000" w:rsidRDefault="00A35E4C">
            <w:pPr>
              <w:rPr>
                <w:rFonts w:eastAsia="Times New Roman"/>
                <w:sz w:val="20"/>
                <w:szCs w:val="20"/>
              </w:rPr>
            </w:pPr>
          </w:p>
        </w:tc>
      </w:tr>
      <w:tr w:rsidR="00000000">
        <w:trPr>
          <w:tblCellSpacing w:w="15" w:type="dxa"/>
        </w:trPr>
        <w:tc>
          <w:tcPr>
            <w:tcW w:w="9450" w:type="dxa"/>
            <w:tcMar>
              <w:top w:w="15" w:type="dxa"/>
              <w:left w:w="15" w:type="dxa"/>
              <w:bottom w:w="15" w:type="dxa"/>
              <w:right w:w="15" w:type="dxa"/>
            </w:tcMar>
            <w:hideMark/>
          </w:tcPr>
          <w:p w:rsidR="00000000" w:rsidRDefault="00A35E4C">
            <w:pPr>
              <w:spacing w:before="300" w:after="600"/>
              <w:jc w:val="right"/>
              <w:rPr>
                <w:rFonts w:eastAsia="Times New Roman"/>
              </w:rPr>
            </w:pPr>
            <w:r>
              <w:rPr>
                <w:rStyle w:val="printdefinition"/>
                <w:rFonts w:ascii="Arial" w:eastAsia="Times New Roman" w:hAnsi="Arial" w:cs="Arial"/>
                <w:b/>
                <w:bCs/>
                <w:caps/>
                <w:color w:val="000000"/>
              </w:rPr>
              <w:t>Съди</w:t>
            </w:r>
            <w:r>
              <w:rPr>
                <w:rStyle w:val="printdefinition"/>
                <w:rFonts w:ascii="Arial" w:eastAsia="Times New Roman" w:hAnsi="Arial" w:cs="Arial"/>
                <w:b/>
                <w:bCs/>
                <w:caps/>
                <w:color w:val="000000"/>
              </w:rPr>
              <w:t>я</w:t>
            </w:r>
            <w:r>
              <w:rPr>
                <w:rStyle w:val="a6"/>
                <w:rFonts w:ascii="Arial" w:eastAsia="Times New Roman" w:hAnsi="Arial" w:cs="Arial"/>
                <w:caps/>
                <w:color w:val="000000"/>
              </w:rPr>
              <w:t xml:space="preserve">: </w:t>
            </w:r>
          </w:p>
        </w:tc>
        <w:tc>
          <w:tcPr>
            <w:tcW w:w="4380" w:type="dxa"/>
            <w:tcMar>
              <w:top w:w="15" w:type="dxa"/>
              <w:left w:w="15" w:type="dxa"/>
              <w:bottom w:w="15" w:type="dxa"/>
              <w:right w:w="15" w:type="dxa"/>
            </w:tcMar>
            <w:vAlign w:val="center"/>
            <w:hideMark/>
          </w:tcPr>
          <w:p w:rsidR="00000000" w:rsidRDefault="00A35E4C">
            <w:pPr>
              <w:spacing w:before="300" w:after="600"/>
              <w:rPr>
                <w:rFonts w:eastAsia="Times New Roman"/>
              </w:rPr>
            </w:pPr>
            <w:r>
              <w:rPr>
                <w:rStyle w:val="printdefinition"/>
                <w:rFonts w:ascii="Arial" w:eastAsia="Times New Roman" w:hAnsi="Arial" w:cs="Arial"/>
                <w:caps/>
                <w:color w:val="000000"/>
              </w:rPr>
              <w:t>ВАСИЛКА ЖЕЛЕВ</w:t>
            </w:r>
            <w:r>
              <w:rPr>
                <w:rStyle w:val="printdefinition"/>
                <w:rFonts w:ascii="Arial" w:eastAsia="Times New Roman" w:hAnsi="Arial" w:cs="Arial"/>
                <w:caps/>
                <w:color w:val="000000"/>
              </w:rPr>
              <w:t>А</w:t>
            </w:r>
          </w:p>
        </w:tc>
      </w:tr>
      <w:tr w:rsidR="00000000">
        <w:trPr>
          <w:tblCellSpacing w:w="15" w:type="dxa"/>
        </w:trPr>
        <w:tc>
          <w:tcPr>
            <w:tcW w:w="9450" w:type="dxa"/>
            <w:tcMar>
              <w:top w:w="15" w:type="dxa"/>
              <w:left w:w="15" w:type="dxa"/>
              <w:bottom w:w="15" w:type="dxa"/>
              <w:right w:w="15" w:type="dxa"/>
            </w:tcMar>
            <w:hideMark/>
          </w:tcPr>
          <w:p w:rsidR="00000000" w:rsidRDefault="00A35E4C">
            <w:pPr>
              <w:rPr>
                <w:rFonts w:eastAsia="Times New Roman"/>
                <w:sz w:val="20"/>
                <w:szCs w:val="20"/>
              </w:rPr>
            </w:pPr>
          </w:p>
        </w:tc>
        <w:tc>
          <w:tcPr>
            <w:tcW w:w="4380" w:type="dxa"/>
            <w:tcMar>
              <w:top w:w="15" w:type="dxa"/>
              <w:left w:w="15" w:type="dxa"/>
              <w:bottom w:w="15" w:type="dxa"/>
              <w:right w:w="15" w:type="dxa"/>
            </w:tcMar>
            <w:vAlign w:val="center"/>
            <w:hideMark/>
          </w:tcPr>
          <w:p w:rsidR="00000000" w:rsidRDefault="00A35E4C">
            <w:pPr>
              <w:rPr>
                <w:rFonts w:eastAsia="Times New Roman"/>
                <w:sz w:val="20"/>
                <w:szCs w:val="20"/>
              </w:rPr>
            </w:pPr>
          </w:p>
        </w:tc>
      </w:tr>
    </w:tbl>
    <w:p w:rsidR="00000000" w:rsidRDefault="00A35E4C">
      <w:pPr>
        <w:pStyle w:val="body-text"/>
        <w:jc w:val="both"/>
      </w:pPr>
      <w:r>
        <w:rPr>
          <w:rStyle w:val="printdefinition"/>
        </w:rPr>
        <w:t>Като разгледа докладваното от съдия ВАСИЛКА ЖЕЛЕВ</w:t>
      </w:r>
      <w:r>
        <w:rPr>
          <w:rStyle w:val="printdefinition"/>
        </w:rPr>
        <w:t>А</w:t>
      </w:r>
      <w:r>
        <w:t xml:space="preserve"> </w:t>
      </w:r>
      <w:r>
        <w:t>административно дело № 20237260701216 / 2023 г., за да се произнесе взе предвид следното</w:t>
      </w:r>
      <w:r>
        <w:t>:</w:t>
      </w:r>
    </w:p>
    <w:p w:rsidR="00000000" w:rsidRDefault="00A35E4C">
      <w:pPr>
        <w:pStyle w:val="a4"/>
        <w:ind w:firstLine="720"/>
        <w:jc w:val="both"/>
        <w:divId w:val="998458919"/>
        <w:rPr>
          <w:rFonts w:ascii="MS Sans Serif" w:hAnsi="MS Sans Serif"/>
        </w:rPr>
      </w:pPr>
      <w:r>
        <w:rPr>
          <w:rFonts w:ascii="MS Sans Serif" w:hAnsi="MS Sans Serif"/>
        </w:rPr>
        <w:t>Съдебноадминистративното производство е образувано по жалба на Г.И.И., с постоянен адрес: ***, кандидат за общински съветник в Община Хасково от ПП „Български гласъ“,</w:t>
      </w:r>
      <w:r>
        <w:rPr>
          <w:rFonts w:ascii="MS Sans Serif" w:hAnsi="MS Sans Serif"/>
        </w:rPr>
        <w:t xml:space="preserve"> против Решение №253-МИ на ОИК Хасково, прието на 30.10.2023 г., за определяне на изборните резултати за избор на общински съветници в Община Хасково. </w:t>
      </w:r>
    </w:p>
    <w:p w:rsidR="00000000" w:rsidRDefault="00A35E4C">
      <w:pPr>
        <w:pStyle w:val="a4"/>
        <w:ind w:firstLine="720"/>
        <w:jc w:val="both"/>
        <w:divId w:val="998458919"/>
        <w:rPr>
          <w:rFonts w:ascii="MS Sans Serif" w:hAnsi="MS Sans Serif"/>
        </w:rPr>
      </w:pPr>
      <w:r>
        <w:rPr>
          <w:rFonts w:ascii="MS Sans Serif" w:hAnsi="MS Sans Serif"/>
        </w:rPr>
        <w:t>В жалбата се твърди, че обжалваното решение е издадено при съществени нарушения на Изборния кодекс, воде</w:t>
      </w:r>
      <w:r>
        <w:rPr>
          <w:rFonts w:ascii="MS Sans Serif" w:hAnsi="MS Sans Serif"/>
        </w:rPr>
        <w:t>щи до недействителност на избора, и които нарушения ако не били допуснати, показаният изборен резултат щял да бъде различен. Претендира се изборът да бъде обявен за недействителен по отношение на избраните за общински съветници кандидати на партии и коалиц</w:t>
      </w:r>
      <w:r>
        <w:rPr>
          <w:rFonts w:ascii="MS Sans Serif" w:hAnsi="MS Sans Serif"/>
        </w:rPr>
        <w:t>ии, регистрирани за участие в изборите за общински съветници в Община Хасково.</w:t>
      </w:r>
    </w:p>
    <w:p w:rsidR="00000000" w:rsidRDefault="00A35E4C">
      <w:pPr>
        <w:pStyle w:val="a4"/>
        <w:ind w:firstLine="720"/>
        <w:jc w:val="both"/>
        <w:divId w:val="998458919"/>
        <w:rPr>
          <w:rFonts w:ascii="MS Sans Serif" w:hAnsi="MS Sans Serif"/>
        </w:rPr>
      </w:pPr>
      <w:r>
        <w:rPr>
          <w:rFonts w:ascii="MS Sans Serif" w:hAnsi="MS Sans Serif"/>
        </w:rPr>
        <w:t>В придружително писмо изх.№48/08.11.2023 г. на Общинска избирателна комисия Хасково, с което жалбата постъпва в съда, се сочи, че в Административен съд – Хасково е образувано ад</w:t>
      </w:r>
      <w:r>
        <w:rPr>
          <w:rFonts w:ascii="MS Sans Serif" w:hAnsi="MS Sans Serif"/>
        </w:rPr>
        <w:t>м.дело №1200/2023 г. по описа на съда, по жалба на изброени партии и коалиции от партии, срещу Решение №253-МИ/30.10.2023 г. на ОИК Хасково за общински съветници и се излагат съображения, че подадената от Г.И.И. жалба е с предмет, идентичен с този по адм.д</w:t>
      </w:r>
      <w:r>
        <w:rPr>
          <w:rFonts w:ascii="MS Sans Serif" w:hAnsi="MS Sans Serif"/>
        </w:rPr>
        <w:t xml:space="preserve">ело №1200/2023 г. на Административен съд – Хасково. Твърди се, че е налице необходимост от постановяване на едно общо решение, тъй като доказателствата, които ще се събират и анализират от съда за установяване на релевантните в производството по тези дела </w:t>
      </w:r>
      <w:r>
        <w:rPr>
          <w:rFonts w:ascii="MS Sans Serif" w:hAnsi="MS Sans Serif"/>
        </w:rPr>
        <w:t>факти са идентични.</w:t>
      </w:r>
    </w:p>
    <w:p w:rsidR="00000000" w:rsidRDefault="00A35E4C">
      <w:pPr>
        <w:pStyle w:val="a4"/>
        <w:ind w:firstLine="720"/>
        <w:jc w:val="both"/>
        <w:divId w:val="998458919"/>
        <w:rPr>
          <w:rFonts w:ascii="MS Sans Serif" w:hAnsi="MS Sans Serif"/>
        </w:rPr>
      </w:pPr>
      <w:r>
        <w:rPr>
          <w:rFonts w:ascii="MS Sans Serif" w:hAnsi="MS Sans Serif"/>
        </w:rPr>
        <w:t>Служебно известно е на съда, че срещу същия административен акт – Решение №253-МИ/30.10.2023 г. на ОИК Хасково относно избиране на общински съветници, в Административен съд – Хасково е подадена жалба от КП „Продължаваме промяната – Демо</w:t>
      </w:r>
      <w:r>
        <w:rPr>
          <w:rFonts w:ascii="MS Sans Serif" w:hAnsi="MS Sans Serif"/>
        </w:rPr>
        <w:t>кратична България“, ПП „Ние идваме“, КП „БСП за България“, ПП „ВМРО – Българско национално движение“, КП „България на регионите“ и ПП „Възраждане“, по която е образувано адм.дело №1200/2023 г. по описа на Административен съд – Хасково, насрочено за разглеж</w:t>
      </w:r>
      <w:r>
        <w:rPr>
          <w:rFonts w:ascii="MS Sans Serif" w:hAnsi="MS Sans Serif"/>
        </w:rPr>
        <w:t>дане в открито съдебно заседание.</w:t>
      </w:r>
    </w:p>
    <w:p w:rsidR="00000000" w:rsidRDefault="00A35E4C">
      <w:pPr>
        <w:pStyle w:val="a4"/>
        <w:ind w:firstLine="720"/>
        <w:jc w:val="both"/>
        <w:divId w:val="998458919"/>
        <w:rPr>
          <w:rFonts w:ascii="MS Sans Serif" w:hAnsi="MS Sans Serif"/>
        </w:rPr>
      </w:pPr>
      <w:r>
        <w:rPr>
          <w:rFonts w:ascii="MS Sans Serif" w:hAnsi="MS Sans Serif"/>
        </w:rPr>
        <w:t>Налице са условията на чл.213 от ГПК, вр.чл.144 от АПК, т.к. предмет на двете дела е контрол за законосъобразността на един и същ административен акт. Предвид връзката между делата, идентичността на обжалваното Решение и н</w:t>
      </w:r>
      <w:r>
        <w:rPr>
          <w:rFonts w:ascii="MS Sans Serif" w:hAnsi="MS Sans Serif"/>
        </w:rPr>
        <w:t>а ответната страна по спора, както и с оглед процесуална икономия, съдът намира, че делата следва да бъдат съединени в едно производство, като по аргумент от чл.126, ал.1 от ГПК, настоящото производство, като по-късно заведено, се прекрати служебно, а дело</w:t>
      </w:r>
      <w:r>
        <w:rPr>
          <w:rFonts w:ascii="MS Sans Serif" w:hAnsi="MS Sans Serif"/>
        </w:rPr>
        <w:t>то се присъедини към висящото адм.дело №1200/2023 г. по описа на Административен съд – Хасково.</w:t>
      </w:r>
    </w:p>
    <w:p w:rsidR="00000000" w:rsidRDefault="00A35E4C">
      <w:pPr>
        <w:pStyle w:val="a4"/>
        <w:ind w:firstLine="720"/>
        <w:jc w:val="both"/>
        <w:divId w:val="998458919"/>
        <w:rPr>
          <w:rFonts w:ascii="MS Sans Serif" w:hAnsi="MS Sans Serif"/>
        </w:rPr>
      </w:pPr>
      <w:r>
        <w:rPr>
          <w:rFonts w:ascii="MS Sans Serif" w:hAnsi="MS Sans Serif"/>
        </w:rPr>
        <w:t>С оглед изложеното, съдът</w:t>
      </w:r>
    </w:p>
    <w:p w:rsidR="00000000" w:rsidRDefault="00A35E4C">
      <w:pPr>
        <w:pStyle w:val="a00"/>
        <w:ind w:right="-105"/>
        <w:jc w:val="center"/>
        <w:divId w:val="998458919"/>
        <w:rPr>
          <w:rFonts w:ascii="MS Sans Serif" w:hAnsi="MS Sans Serif"/>
        </w:rPr>
      </w:pPr>
      <w:r>
        <w:rPr>
          <w:rFonts w:ascii="MS Sans Serif" w:hAnsi="MS Sans Serif"/>
        </w:rPr>
        <w:t>ОПРЕДЕЛИ:</w:t>
      </w:r>
    </w:p>
    <w:p w:rsidR="00000000" w:rsidRDefault="00A35E4C">
      <w:pPr>
        <w:pStyle w:val="a00"/>
        <w:ind w:right="-105" w:firstLine="708"/>
        <w:jc w:val="both"/>
        <w:divId w:val="998458919"/>
        <w:rPr>
          <w:rFonts w:ascii="MS Sans Serif" w:hAnsi="MS Sans Serif"/>
        </w:rPr>
      </w:pPr>
      <w:r>
        <w:rPr>
          <w:rFonts w:ascii="MS Sans Serif" w:hAnsi="MS Sans Serif"/>
        </w:rPr>
        <w:t>ПРЕКРАТЯВА производството по адм.дело №1216/2023 г. по описа на Административен съд – Хасково.</w:t>
      </w:r>
    </w:p>
    <w:p w:rsidR="00000000" w:rsidRDefault="00A35E4C">
      <w:pPr>
        <w:pStyle w:val="a4"/>
        <w:ind w:firstLine="720"/>
        <w:jc w:val="both"/>
        <w:divId w:val="998458919"/>
        <w:rPr>
          <w:rFonts w:ascii="MS Sans Serif" w:hAnsi="MS Sans Serif"/>
        </w:rPr>
      </w:pPr>
      <w:r>
        <w:rPr>
          <w:rFonts w:ascii="MS Sans Serif" w:hAnsi="MS Sans Serif"/>
        </w:rPr>
        <w:t>ПРИСЪЕДИНЯВА адм.дело №1216/2</w:t>
      </w:r>
      <w:r>
        <w:rPr>
          <w:rFonts w:ascii="MS Sans Serif" w:hAnsi="MS Sans Serif"/>
        </w:rPr>
        <w:t>023 г. към адм.дело №1200/2023 г. по описа на Административен съд – Хасково за съвместно разглеждане на постъпилите жалби срещу Решение №253-МИ/30.10.2023 г. на ОИК Хасково.</w:t>
      </w:r>
    </w:p>
    <w:p w:rsidR="00000000" w:rsidRDefault="00A35E4C">
      <w:pPr>
        <w:pStyle w:val="a4"/>
        <w:ind w:firstLine="720"/>
        <w:jc w:val="both"/>
        <w:divId w:val="998458919"/>
        <w:rPr>
          <w:rFonts w:ascii="MS Sans Serif" w:hAnsi="MS Sans Serif"/>
        </w:rPr>
      </w:pPr>
      <w:r>
        <w:rPr>
          <w:rFonts w:ascii="MS Sans Serif" w:hAnsi="MS Sans Serif"/>
        </w:rPr>
        <w:t xml:space="preserve">Определението не подлежи на обжалване. </w:t>
      </w:r>
    </w:p>
    <w:tbl>
      <w:tblPr>
        <w:tblW w:w="5000" w:type="pct"/>
        <w:tblCellSpacing w:w="15" w:type="dxa"/>
        <w:tblLook w:val="04A0" w:firstRow="1" w:lastRow="0" w:firstColumn="1" w:lastColumn="0" w:noHBand="0" w:noVBand="1"/>
      </w:tblPr>
      <w:tblGrid>
        <w:gridCol w:w="4492"/>
        <w:gridCol w:w="2733"/>
        <w:gridCol w:w="1937"/>
      </w:tblGrid>
      <w:tr w:rsidR="00000000">
        <w:trPr>
          <w:divId w:val="965041628"/>
          <w:tblCellSpacing w:w="15" w:type="dxa"/>
        </w:trPr>
        <w:tc>
          <w:tcPr>
            <w:tcW w:w="7260" w:type="dxa"/>
            <w:tcMar>
              <w:top w:w="15" w:type="dxa"/>
              <w:left w:w="15" w:type="dxa"/>
              <w:bottom w:w="15" w:type="dxa"/>
              <w:right w:w="15" w:type="dxa"/>
            </w:tcMar>
            <w:hideMark/>
          </w:tcPr>
          <w:p w:rsidR="00000000" w:rsidRDefault="00A35E4C">
            <w:pPr>
              <w:rPr>
                <w:rFonts w:eastAsia="Times New Roman"/>
                <w:sz w:val="20"/>
                <w:szCs w:val="20"/>
              </w:rPr>
            </w:pPr>
          </w:p>
        </w:tc>
        <w:tc>
          <w:tcPr>
            <w:tcW w:w="3795" w:type="dxa"/>
            <w:tcMar>
              <w:top w:w="15" w:type="dxa"/>
              <w:left w:w="15" w:type="dxa"/>
              <w:bottom w:w="15" w:type="dxa"/>
              <w:right w:w="15" w:type="dxa"/>
            </w:tcMar>
            <w:hideMark/>
          </w:tcPr>
          <w:p w:rsidR="00000000" w:rsidRDefault="00A35E4C">
            <w:pPr>
              <w:rPr>
                <w:rFonts w:eastAsia="Times New Roman"/>
                <w:sz w:val="20"/>
                <w:szCs w:val="20"/>
              </w:rPr>
            </w:pPr>
          </w:p>
        </w:tc>
        <w:tc>
          <w:tcPr>
            <w:tcW w:w="3075" w:type="dxa"/>
            <w:tcMar>
              <w:top w:w="15" w:type="dxa"/>
              <w:left w:w="15" w:type="dxa"/>
              <w:bottom w:w="15" w:type="dxa"/>
              <w:right w:w="15" w:type="dxa"/>
            </w:tcMar>
            <w:vAlign w:val="center"/>
            <w:hideMark/>
          </w:tcPr>
          <w:p w:rsidR="00000000" w:rsidRDefault="00A35E4C">
            <w:pPr>
              <w:rPr>
                <w:rFonts w:eastAsia="Times New Roman"/>
                <w:sz w:val="20"/>
                <w:szCs w:val="20"/>
              </w:rPr>
            </w:pPr>
          </w:p>
        </w:tc>
      </w:tr>
      <w:tr w:rsidR="00000000">
        <w:trPr>
          <w:divId w:val="965041628"/>
          <w:tblCellSpacing w:w="15" w:type="dxa"/>
        </w:trPr>
        <w:tc>
          <w:tcPr>
            <w:tcW w:w="7260" w:type="dxa"/>
            <w:tcMar>
              <w:top w:w="15" w:type="dxa"/>
              <w:left w:w="15" w:type="dxa"/>
              <w:bottom w:w="15" w:type="dxa"/>
              <w:right w:w="15" w:type="dxa"/>
            </w:tcMar>
            <w:hideMark/>
          </w:tcPr>
          <w:p w:rsidR="00000000" w:rsidRDefault="00A35E4C">
            <w:pPr>
              <w:rPr>
                <w:rFonts w:eastAsia="Times New Roman"/>
                <w:sz w:val="20"/>
                <w:szCs w:val="20"/>
              </w:rPr>
            </w:pPr>
          </w:p>
        </w:tc>
        <w:tc>
          <w:tcPr>
            <w:tcW w:w="3795" w:type="dxa"/>
            <w:tcMar>
              <w:top w:w="15" w:type="dxa"/>
              <w:left w:w="15" w:type="dxa"/>
              <w:bottom w:w="15" w:type="dxa"/>
              <w:right w:w="15" w:type="dxa"/>
            </w:tcMar>
            <w:hideMark/>
          </w:tcPr>
          <w:p w:rsidR="00000000" w:rsidRDefault="00A35E4C">
            <w:pPr>
              <w:jc w:val="right"/>
              <w:rPr>
                <w:rFonts w:eastAsia="Times New Roman"/>
              </w:rPr>
            </w:pPr>
            <w:r>
              <w:rPr>
                <w:rStyle w:val="printdefinition"/>
                <w:rFonts w:ascii="MS Sans Serif" w:eastAsia="Times New Roman" w:hAnsi="MS Sans Serif"/>
                <w:b/>
                <w:bCs/>
                <w:caps/>
                <w:color w:val="000000"/>
              </w:rPr>
              <w:t>Съди</w:t>
            </w:r>
            <w:r>
              <w:rPr>
                <w:rStyle w:val="printdefinition"/>
                <w:rFonts w:ascii="MS Sans Serif" w:eastAsia="Times New Roman" w:hAnsi="MS Sans Serif"/>
                <w:b/>
                <w:bCs/>
                <w:caps/>
                <w:color w:val="000000"/>
              </w:rPr>
              <w:t>я</w:t>
            </w:r>
            <w:r>
              <w:rPr>
                <w:rStyle w:val="a6"/>
                <w:rFonts w:ascii="MS Sans Serif" w:eastAsia="Times New Roman" w:hAnsi="MS Sans Serif"/>
                <w:caps/>
                <w:color w:val="000000"/>
              </w:rPr>
              <w:t xml:space="preserve">: </w:t>
            </w:r>
          </w:p>
        </w:tc>
        <w:tc>
          <w:tcPr>
            <w:tcW w:w="3075" w:type="dxa"/>
            <w:tcMar>
              <w:top w:w="15" w:type="dxa"/>
              <w:left w:w="15" w:type="dxa"/>
              <w:bottom w:w="15" w:type="dxa"/>
              <w:right w:w="15" w:type="dxa"/>
            </w:tcMar>
            <w:vAlign w:val="center"/>
            <w:hideMark/>
          </w:tcPr>
          <w:p w:rsidR="00000000" w:rsidRDefault="00A35E4C">
            <w:pPr>
              <w:rPr>
                <w:rFonts w:eastAsia="Times New Roman"/>
                <w:sz w:val="20"/>
                <w:szCs w:val="20"/>
              </w:rPr>
            </w:pPr>
          </w:p>
        </w:tc>
      </w:tr>
      <w:tr w:rsidR="00000000">
        <w:trPr>
          <w:divId w:val="965041628"/>
          <w:tblCellSpacing w:w="15" w:type="dxa"/>
        </w:trPr>
        <w:tc>
          <w:tcPr>
            <w:tcW w:w="7260" w:type="dxa"/>
            <w:tcMar>
              <w:top w:w="15" w:type="dxa"/>
              <w:left w:w="15" w:type="dxa"/>
              <w:bottom w:w="15" w:type="dxa"/>
              <w:right w:w="15" w:type="dxa"/>
            </w:tcMar>
            <w:hideMark/>
          </w:tcPr>
          <w:p w:rsidR="00000000" w:rsidRDefault="00A35E4C">
            <w:pPr>
              <w:rPr>
                <w:rFonts w:eastAsia="Times New Roman"/>
                <w:sz w:val="20"/>
                <w:szCs w:val="20"/>
              </w:rPr>
            </w:pPr>
          </w:p>
        </w:tc>
        <w:tc>
          <w:tcPr>
            <w:tcW w:w="3795" w:type="dxa"/>
            <w:tcMar>
              <w:top w:w="300" w:type="dxa"/>
              <w:left w:w="15" w:type="dxa"/>
              <w:bottom w:w="15" w:type="dxa"/>
              <w:right w:w="15" w:type="dxa"/>
            </w:tcMar>
            <w:hideMark/>
          </w:tcPr>
          <w:p w:rsidR="00000000" w:rsidRDefault="00A35E4C">
            <w:pPr>
              <w:rPr>
                <w:rFonts w:eastAsia="Times New Roman"/>
                <w:sz w:val="20"/>
                <w:szCs w:val="20"/>
              </w:rPr>
            </w:pPr>
          </w:p>
        </w:tc>
        <w:tc>
          <w:tcPr>
            <w:tcW w:w="3075" w:type="dxa"/>
            <w:tcMar>
              <w:top w:w="300" w:type="dxa"/>
              <w:left w:w="15" w:type="dxa"/>
              <w:bottom w:w="15" w:type="dxa"/>
              <w:right w:w="15" w:type="dxa"/>
            </w:tcMar>
            <w:vAlign w:val="center"/>
            <w:hideMark/>
          </w:tcPr>
          <w:p w:rsidR="00000000" w:rsidRDefault="00A35E4C">
            <w:pPr>
              <w:rPr>
                <w:rFonts w:eastAsia="Times New Roman"/>
                <w:sz w:val="20"/>
                <w:szCs w:val="20"/>
              </w:rPr>
            </w:pPr>
          </w:p>
        </w:tc>
      </w:tr>
    </w:tbl>
    <w:p w:rsidR="00000000" w:rsidRDefault="00A35E4C">
      <w:pPr>
        <w:divId w:val="965041628"/>
        <w:rPr>
          <w:rFonts w:eastAsia="Times New Roman"/>
        </w:rPr>
      </w:pPr>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altName w:val="Times New Roman"/>
    <w:panose1 w:val="020B05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84"/>
  <w:attachedTemplate r:id="rId1"/>
  <w:defaultTabStop w:val="708"/>
  <w:hyphenationZone w:val="420"/>
  <w:noPunctuationKerning/>
  <w:characterSpacingControl w:val="doNotCompress"/>
  <w:compat>
    <w:doNotSnapToGridInCell/>
    <w:doNotWrapTextWithPunct/>
    <w:doNotUseEastAsianBreakRules/>
    <w:growAutofit/>
    <w:compatSetting w:name="compatibilityMode" w:uri="http://schemas.microsoft.com/office/word" w:val="14"/>
  </w:compat>
  <w:rsids>
    <w:rsidRoot w:val="00A35E4C"/>
    <w:rsid w:val="00A35E4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paragraph" w:styleId="a4">
    <w:name w:val="Body Text"/>
    <w:basedOn w:val="a"/>
    <w:link w:val="a5"/>
    <w:uiPriority w:val="99"/>
    <w:semiHidden/>
    <w:unhideWhenUsed/>
    <w:pPr>
      <w:spacing w:before="100" w:beforeAutospacing="1" w:after="100" w:afterAutospacing="1"/>
    </w:pPr>
  </w:style>
  <w:style w:type="character" w:customStyle="1" w:styleId="a5">
    <w:name w:val="Основен текст Знак"/>
    <w:basedOn w:val="a0"/>
    <w:link w:val="a4"/>
    <w:uiPriority w:val="99"/>
    <w:semiHidden/>
    <w:locked/>
    <w:rPr>
      <w:rFonts w:ascii="Times New Roman" w:eastAsiaTheme="minorEastAsia" w:hAnsi="Times New Roman" w:cs="Times New Roman" w:hint="default"/>
      <w:sz w:val="24"/>
      <w:szCs w:val="24"/>
    </w:rPr>
  </w:style>
  <w:style w:type="paragraph" w:customStyle="1" w:styleId="body-text">
    <w:name w:val="body-text"/>
    <w:basedOn w:val="a"/>
    <w:uiPriority w:val="99"/>
    <w:semiHidden/>
    <w:pPr>
      <w:spacing w:before="100" w:beforeAutospacing="1" w:after="100" w:afterAutospacing="1"/>
    </w:pPr>
  </w:style>
  <w:style w:type="paragraph" w:customStyle="1" w:styleId="a00">
    <w:name w:val="a0"/>
    <w:basedOn w:val="a"/>
    <w:uiPriority w:val="99"/>
    <w:semiHidden/>
    <w:pPr>
      <w:spacing w:before="100" w:beforeAutospacing="1" w:after="100" w:afterAutospacing="1"/>
    </w:pPr>
  </w:style>
  <w:style w:type="character" w:styleId="a6">
    <w:name w:val="Strong"/>
    <w:basedOn w:val="a0"/>
    <w:uiPriority w:val="22"/>
    <w:qFormat/>
    <w:rPr>
      <w:b/>
      <w:bCs/>
    </w:rPr>
  </w:style>
  <w:style w:type="character" w:customStyle="1" w:styleId="printdefinition">
    <w:name w:val="printdefinition"/>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paragraph" w:styleId="a4">
    <w:name w:val="Body Text"/>
    <w:basedOn w:val="a"/>
    <w:link w:val="a5"/>
    <w:uiPriority w:val="99"/>
    <w:semiHidden/>
    <w:unhideWhenUsed/>
    <w:pPr>
      <w:spacing w:before="100" w:beforeAutospacing="1" w:after="100" w:afterAutospacing="1"/>
    </w:pPr>
  </w:style>
  <w:style w:type="character" w:customStyle="1" w:styleId="a5">
    <w:name w:val="Основен текст Знак"/>
    <w:basedOn w:val="a0"/>
    <w:link w:val="a4"/>
    <w:uiPriority w:val="99"/>
    <w:semiHidden/>
    <w:locked/>
    <w:rPr>
      <w:rFonts w:ascii="Times New Roman" w:eastAsiaTheme="minorEastAsia" w:hAnsi="Times New Roman" w:cs="Times New Roman" w:hint="default"/>
      <w:sz w:val="24"/>
      <w:szCs w:val="24"/>
    </w:rPr>
  </w:style>
  <w:style w:type="paragraph" w:customStyle="1" w:styleId="body-text">
    <w:name w:val="body-text"/>
    <w:basedOn w:val="a"/>
    <w:uiPriority w:val="99"/>
    <w:semiHidden/>
    <w:pPr>
      <w:spacing w:before="100" w:beforeAutospacing="1" w:after="100" w:afterAutospacing="1"/>
    </w:pPr>
  </w:style>
  <w:style w:type="paragraph" w:customStyle="1" w:styleId="a00">
    <w:name w:val="a0"/>
    <w:basedOn w:val="a"/>
    <w:uiPriority w:val="99"/>
    <w:semiHidden/>
    <w:pPr>
      <w:spacing w:before="100" w:beforeAutospacing="1" w:after="100" w:afterAutospacing="1"/>
    </w:pPr>
  </w:style>
  <w:style w:type="character" w:styleId="a6">
    <w:name w:val="Strong"/>
    <w:basedOn w:val="a0"/>
    <w:uiPriority w:val="22"/>
    <w:qFormat/>
    <w:rPr>
      <w:b/>
      <w:bCs/>
    </w:rPr>
  </w:style>
  <w:style w:type="character" w:customStyle="1" w:styleId="printdefinition">
    <w:name w:val="printdefinition"/>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041628">
      <w:marLeft w:val="0"/>
      <w:marRight w:val="0"/>
      <w:marTop w:val="450"/>
      <w:marBottom w:val="3000"/>
      <w:divBdr>
        <w:top w:val="none" w:sz="0" w:space="0" w:color="auto"/>
        <w:left w:val="none" w:sz="0" w:space="0" w:color="auto"/>
        <w:bottom w:val="none" w:sz="0" w:space="0" w:color="auto"/>
        <w:right w:val="none" w:sz="0" w:space="0" w:color="auto"/>
      </w:divBdr>
    </w:div>
    <w:div w:id="998458919">
      <w:marLeft w:val="0"/>
      <w:marRight w:val="0"/>
      <w:marTop w:val="0"/>
      <w:marBottom w:val="4"/>
      <w:divBdr>
        <w:top w:val="none" w:sz="0" w:space="0" w:color="auto"/>
        <w:left w:val="none" w:sz="0" w:space="0" w:color="auto"/>
        <w:bottom w:val="none" w:sz="0" w:space="0" w:color="auto"/>
        <w:right w:val="none" w:sz="0" w:space="0" w:color="auto"/>
      </w:divBdr>
    </w:div>
  </w:divs>
  <w:encoding w:val="unicode"/>
  <w:optimizeForBrowser/>
  <w:allowPNG/>
  <w:doNotOrganizeInFold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2799</Characters>
  <Application>Microsoft Office Word</Application>
  <DocSecurity>4</DocSecurity>
  <Lines>23</Lines>
  <Paragraphs>6</Paragraphs>
  <ScaleCrop>false</ScaleCrop>
  <HeadingPairs>
    <vt:vector size="2" baseType="variant">
      <vt:variant>
        <vt:lpstr>Заглавие</vt:lpstr>
      </vt:variant>
      <vt:variant>
        <vt:i4>1</vt:i4>
      </vt:variant>
    </vt:vector>
  </HeadingPairs>
  <TitlesOfParts>
    <vt:vector size="1" baseType="lpstr">
      <vt:lpstr>Определение по Административно дело 1216/2023г.</vt:lpstr>
    </vt:vector>
  </TitlesOfParts>
  <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Определение по Административно дело 1216/2023г.</dc:title>
  <dc:creator>Sonya Dimitrova</dc:creator>
  <cp:lastModifiedBy>Maria Bjalkova</cp:lastModifiedBy>
  <cp:revision>2</cp:revision>
  <dcterms:created xsi:type="dcterms:W3CDTF">2024-09-17T12:11:00Z</dcterms:created>
  <dcterms:modified xsi:type="dcterms:W3CDTF">2024-09-17T12:11:00Z</dcterms:modified>
</cp:coreProperties>
</file>